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39F7E" w14:textId="77777777" w:rsidR="00913DD5" w:rsidRDefault="00913DD5" w:rsidP="007465D6">
      <w:pPr>
        <w:pStyle w:val="BodyText"/>
        <w:jc w:val="center"/>
        <w:rPr>
          <w:sz w:val="20"/>
        </w:rPr>
      </w:pPr>
      <w:bookmarkStart w:id="0" w:name="_GoBack"/>
      <w:bookmarkEnd w:id="0"/>
    </w:p>
    <w:p w14:paraId="7EEA953B" w14:textId="65C7D999" w:rsidR="007465D6" w:rsidRPr="007465D6" w:rsidRDefault="007465D6" w:rsidP="007465D6">
      <w:pPr>
        <w:pStyle w:val="BodyText"/>
        <w:jc w:val="center"/>
        <w:rPr>
          <w:bCs/>
          <w:sz w:val="20"/>
          <w:szCs w:val="20"/>
        </w:rPr>
      </w:pPr>
      <w:r>
        <w:rPr>
          <w:sz w:val="20"/>
        </w:rPr>
        <w:t>REZOLŪCIJA MSC.330(90)</w:t>
      </w:r>
    </w:p>
    <w:p w14:paraId="086BE588" w14:textId="77777777" w:rsidR="007465D6" w:rsidRPr="007465D6" w:rsidRDefault="007465D6" w:rsidP="007465D6">
      <w:pPr>
        <w:pStyle w:val="BodyText"/>
        <w:jc w:val="center"/>
        <w:rPr>
          <w:bCs/>
          <w:sz w:val="20"/>
          <w:szCs w:val="20"/>
        </w:rPr>
      </w:pPr>
      <w:r>
        <w:rPr>
          <w:sz w:val="20"/>
        </w:rPr>
        <w:t>(pieņemta 2012. gada 25. maijā)</w:t>
      </w:r>
    </w:p>
    <w:p w14:paraId="01A4A1BD" w14:textId="233A879B" w:rsidR="007465D6" w:rsidRDefault="007465D6" w:rsidP="007465D6">
      <w:pPr>
        <w:pStyle w:val="BodyText"/>
        <w:jc w:val="center"/>
        <w:rPr>
          <w:sz w:val="20"/>
        </w:rPr>
      </w:pPr>
      <w:r>
        <w:rPr>
          <w:sz w:val="20"/>
        </w:rPr>
        <w:t>GROZĪJUMU PIEŅEMŠANA PĀRSKATĪTAJOS VEIKTSPĒJAS STANDARTOS UN FUNKCIONĀLAJĀS PRASĪBĀS KUĢU TĀLDARBĪBAS IDENTIFIKĀCIJAS UN SEKOŠANAS SISTĒMAI (REZOLŪCIJA MSC.263(84))</w:t>
      </w:r>
    </w:p>
    <w:p w14:paraId="17710F31" w14:textId="77777777" w:rsidR="00913DD5" w:rsidRPr="007465D6" w:rsidRDefault="00913DD5" w:rsidP="007465D6">
      <w:pPr>
        <w:pStyle w:val="BodyText"/>
        <w:jc w:val="center"/>
        <w:rPr>
          <w:bCs/>
          <w:sz w:val="20"/>
          <w:szCs w:val="20"/>
        </w:rPr>
      </w:pP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7465D6" w:rsidRPr="00DB6FCD" w14:paraId="3BFB1412" w14:textId="77777777" w:rsidTr="007465D6">
        <w:tc>
          <w:tcPr>
            <w:tcW w:w="5000" w:type="pct"/>
          </w:tcPr>
          <w:p w14:paraId="4FBABED1" w14:textId="77777777" w:rsidR="007465D6" w:rsidRPr="00DB6FCD" w:rsidRDefault="007465D6" w:rsidP="007465D6">
            <w:pPr>
              <w:pStyle w:val="BodyText"/>
              <w:jc w:val="right"/>
              <w:rPr>
                <w:sz w:val="22"/>
              </w:rPr>
            </w:pPr>
            <w:r w:rsidRPr="00DB6FCD">
              <w:rPr>
                <w:sz w:val="22"/>
              </w:rPr>
              <w:t>MSC 90/28/Add.1</w:t>
            </w:r>
          </w:p>
          <w:p w14:paraId="2143AAC5" w14:textId="4A3737E9" w:rsidR="007465D6" w:rsidRPr="00DB6FCD" w:rsidRDefault="007465D6" w:rsidP="007465D6">
            <w:pPr>
              <w:jc w:val="right"/>
              <w:rPr>
                <w:rFonts w:ascii="Times New Roman" w:hAnsi="Times New Roman" w:cs="Times New Roman"/>
                <w:noProof/>
                <w:szCs w:val="24"/>
              </w:rPr>
            </w:pPr>
            <w:r w:rsidRPr="00DB6FCD">
              <w:rPr>
                <w:rFonts w:ascii="Times New Roman" w:hAnsi="Times New Roman"/>
                <w:szCs w:val="24"/>
              </w:rPr>
              <w:t>11. pielikums, 1. lpp.</w:t>
            </w:r>
          </w:p>
        </w:tc>
      </w:tr>
    </w:tbl>
    <w:p w14:paraId="773FF0FB" w14:textId="77777777" w:rsidR="0010576A" w:rsidRPr="001C6EE6" w:rsidRDefault="0010576A" w:rsidP="001C6EE6">
      <w:pPr>
        <w:jc w:val="both"/>
        <w:rPr>
          <w:rFonts w:ascii="Times New Roman" w:eastAsia="Arial" w:hAnsi="Times New Roman" w:cs="Times New Roman"/>
          <w:noProof/>
          <w:sz w:val="24"/>
          <w:szCs w:val="24"/>
        </w:rPr>
      </w:pPr>
    </w:p>
    <w:p w14:paraId="6B0CC930" w14:textId="77777777" w:rsidR="0010576A" w:rsidRPr="00B25A04" w:rsidRDefault="0010576A" w:rsidP="00B25A04">
      <w:pPr>
        <w:pStyle w:val="BodyText"/>
        <w:jc w:val="center"/>
        <w:rPr>
          <w:b/>
          <w:bCs/>
        </w:rPr>
      </w:pPr>
      <w:r>
        <w:rPr>
          <w:b/>
        </w:rPr>
        <w:t>11. PIELIKUMS</w:t>
      </w:r>
    </w:p>
    <w:p w14:paraId="648F27F4" w14:textId="77777777" w:rsidR="0010576A" w:rsidRPr="003C085E" w:rsidRDefault="0010576A" w:rsidP="00B25A04">
      <w:pPr>
        <w:jc w:val="center"/>
        <w:rPr>
          <w:rFonts w:ascii="Times New Roman" w:eastAsia="Arial" w:hAnsi="Times New Roman" w:cs="Times New Roman"/>
          <w:noProof/>
          <w:sz w:val="24"/>
          <w:szCs w:val="24"/>
        </w:rPr>
      </w:pPr>
    </w:p>
    <w:p w14:paraId="62FC9CAC" w14:textId="77777777" w:rsidR="0010576A" w:rsidRPr="006E639F" w:rsidRDefault="0010576A" w:rsidP="00B25A04">
      <w:pPr>
        <w:jc w:val="center"/>
        <w:rPr>
          <w:rFonts w:ascii="Times New Roman" w:hAnsi="Times New Roman" w:cs="Times New Roman"/>
          <w:bCs/>
          <w:noProof/>
          <w:sz w:val="24"/>
          <w:szCs w:val="24"/>
        </w:rPr>
      </w:pPr>
      <w:r>
        <w:rPr>
          <w:rFonts w:ascii="Times New Roman" w:hAnsi="Times New Roman"/>
          <w:b/>
          <w:sz w:val="24"/>
        </w:rPr>
        <w:t>REZOLŪCIJA MSC.330(90)</w:t>
      </w:r>
    </w:p>
    <w:p w14:paraId="101354F2" w14:textId="51D1D7AE" w:rsidR="0010576A" w:rsidRDefault="0010576A" w:rsidP="00B25A04">
      <w:pPr>
        <w:jc w:val="center"/>
        <w:rPr>
          <w:rFonts w:ascii="Times New Roman" w:hAnsi="Times New Roman"/>
          <w:b/>
          <w:sz w:val="24"/>
        </w:rPr>
      </w:pPr>
      <w:r>
        <w:rPr>
          <w:rFonts w:ascii="Times New Roman" w:hAnsi="Times New Roman"/>
          <w:b/>
          <w:sz w:val="24"/>
        </w:rPr>
        <w:t>(pieņemta 2012. gada 25. maijā)</w:t>
      </w:r>
    </w:p>
    <w:p w14:paraId="7A4C1D67" w14:textId="77777777" w:rsidR="003C085E" w:rsidRPr="003C085E" w:rsidRDefault="003C085E" w:rsidP="00B25A04">
      <w:pPr>
        <w:jc w:val="center"/>
        <w:rPr>
          <w:rFonts w:ascii="Times New Roman" w:hAnsi="Times New Roman" w:cs="Times New Roman"/>
          <w:bCs/>
          <w:noProof/>
          <w:sz w:val="24"/>
        </w:rPr>
      </w:pPr>
    </w:p>
    <w:p w14:paraId="4EE35278" w14:textId="77777777" w:rsidR="0010576A" w:rsidRPr="006E639F" w:rsidRDefault="0010576A" w:rsidP="00B25A04">
      <w:pPr>
        <w:jc w:val="center"/>
        <w:rPr>
          <w:rFonts w:ascii="Times New Roman" w:hAnsi="Times New Roman" w:cs="Times New Roman"/>
          <w:bCs/>
          <w:noProof/>
          <w:sz w:val="24"/>
          <w:szCs w:val="24"/>
        </w:rPr>
      </w:pPr>
      <w:r>
        <w:rPr>
          <w:rFonts w:ascii="Times New Roman" w:hAnsi="Times New Roman"/>
          <w:b/>
          <w:sz w:val="24"/>
        </w:rPr>
        <w:t>GROZĪJUMU PIEŅEMŠANA PĀRSKATĪTAJOS VEIKTSPĒJAS STANDARTOS UN FUNKCIONĀLAJĀS PRASĪBĀS KUĢU TĀLDARBĪBAS IDENTIFIKĀCIJAS UN SEKOŠANAS SISTĒMAI (REZOLŪCIJA MSC.263(84))</w:t>
      </w:r>
    </w:p>
    <w:p w14:paraId="79EBC2E4" w14:textId="77777777" w:rsidR="0010576A" w:rsidRPr="00E01521" w:rsidRDefault="0010576A" w:rsidP="001C6EE6">
      <w:pPr>
        <w:jc w:val="both"/>
        <w:rPr>
          <w:rFonts w:ascii="Times New Roman" w:eastAsia="Arial" w:hAnsi="Times New Roman" w:cs="Times New Roman"/>
          <w:noProof/>
          <w:sz w:val="24"/>
          <w:szCs w:val="24"/>
        </w:rPr>
      </w:pPr>
    </w:p>
    <w:p w14:paraId="64A0A016" w14:textId="77777777" w:rsidR="0010576A" w:rsidRPr="001C6EE6" w:rsidRDefault="0010576A" w:rsidP="007465D6">
      <w:pPr>
        <w:pStyle w:val="BodyText"/>
      </w:pPr>
      <w:r>
        <w:t>KUĢOŠANAS DROŠĪBAS KOMITEJA,</w:t>
      </w:r>
    </w:p>
    <w:p w14:paraId="012A551F" w14:textId="77777777" w:rsidR="0010576A" w:rsidRPr="001C6EE6" w:rsidRDefault="0010576A" w:rsidP="001C6EE6">
      <w:pPr>
        <w:jc w:val="both"/>
        <w:rPr>
          <w:rFonts w:ascii="Times New Roman" w:eastAsia="Arial" w:hAnsi="Times New Roman" w:cs="Times New Roman"/>
          <w:noProof/>
          <w:sz w:val="24"/>
          <w:szCs w:val="24"/>
        </w:rPr>
      </w:pPr>
    </w:p>
    <w:p w14:paraId="501033AB" w14:textId="77777777" w:rsidR="0010576A" w:rsidRPr="001C6EE6" w:rsidRDefault="0010576A" w:rsidP="007465D6">
      <w:pPr>
        <w:pStyle w:val="BodyText"/>
      </w:pPr>
      <w:r>
        <w:t>ATSAUCOTIES uz Konvencijas par Starptautisko Jūrniecības organizāciju 28. panta b) punktu par Komitejas funkcijām;</w:t>
      </w:r>
    </w:p>
    <w:p w14:paraId="189B03D0" w14:textId="77777777" w:rsidR="0010576A" w:rsidRPr="00E01521" w:rsidRDefault="0010576A" w:rsidP="001C6EE6">
      <w:pPr>
        <w:jc w:val="both"/>
        <w:rPr>
          <w:rFonts w:ascii="Times New Roman" w:eastAsia="Arial" w:hAnsi="Times New Roman" w:cs="Times New Roman"/>
          <w:noProof/>
          <w:sz w:val="24"/>
          <w:szCs w:val="24"/>
        </w:rPr>
      </w:pPr>
    </w:p>
    <w:p w14:paraId="0DEDF598" w14:textId="77777777" w:rsidR="0010576A" w:rsidRPr="001C6EE6" w:rsidRDefault="0010576A" w:rsidP="007465D6">
      <w:pPr>
        <w:pStyle w:val="BodyText"/>
      </w:pPr>
      <w:r>
        <w:t>ATSAUCOTIES ARĪ UZ rezolūciju A.886(21) par veiktspējas standartu un tehnisko specifikāciju pieņemšanas un grozīšanas procedūru, ar kuru Asambleja noteica, ka veiktspējas standartus un tehniskās specifikācijas, kā arī to grozījumus pieņem Kuģošanas drošības komiteja;</w:t>
      </w:r>
    </w:p>
    <w:p w14:paraId="7CF37014" w14:textId="77777777" w:rsidR="0010576A" w:rsidRPr="001C6EE6" w:rsidRDefault="0010576A" w:rsidP="001C6EE6">
      <w:pPr>
        <w:jc w:val="both"/>
        <w:rPr>
          <w:rFonts w:ascii="Times New Roman" w:eastAsia="Arial" w:hAnsi="Times New Roman" w:cs="Times New Roman"/>
          <w:noProof/>
          <w:sz w:val="24"/>
          <w:szCs w:val="24"/>
        </w:rPr>
      </w:pPr>
    </w:p>
    <w:p w14:paraId="221FA162" w14:textId="77777777" w:rsidR="0010576A" w:rsidRPr="001C6EE6" w:rsidRDefault="0010576A" w:rsidP="007465D6">
      <w:pPr>
        <w:pStyle w:val="BodyText"/>
      </w:pPr>
      <w:r>
        <w:t>ŅEMOT VĒRĀ 1974. gada Starptautiskās konvencijas par cilvēku dzīvības aizsardzību uz jūras (Konvencija) V/19-1 noteikuma prasības par kuģu tāldarbības identifikācijas un sekošanas sistēmu un Pārskatītos veiktspējas standartus un funkcionālās prasības kuģu tāldarbības identifikācijas un sekošanas sistēmai (Pārskatītie veiktspējas standarti), kas pieņemti ar rezolūciju MSC.263(84);</w:t>
      </w:r>
    </w:p>
    <w:p w14:paraId="327EF8A8" w14:textId="77777777" w:rsidR="0010576A" w:rsidRPr="001C6EE6" w:rsidRDefault="0010576A" w:rsidP="001C6EE6">
      <w:pPr>
        <w:jc w:val="both"/>
        <w:rPr>
          <w:rFonts w:ascii="Times New Roman" w:eastAsia="Arial" w:hAnsi="Times New Roman" w:cs="Times New Roman"/>
          <w:noProof/>
          <w:sz w:val="24"/>
          <w:szCs w:val="24"/>
        </w:rPr>
      </w:pPr>
    </w:p>
    <w:p w14:paraId="4C160685" w14:textId="77777777" w:rsidR="0010576A" w:rsidRPr="001C6EE6" w:rsidRDefault="0010576A" w:rsidP="007465D6">
      <w:pPr>
        <w:pStyle w:val="BodyText"/>
      </w:pPr>
      <w:r>
        <w:t xml:space="preserve">ŅEMOT VĒRĀ to, ka savā astoņdesmit astotajā sesijā tā piekrita izveidot izmaksu aprēķināšanas modeli </w:t>
      </w:r>
      <w:r>
        <w:rPr>
          <w:i/>
          <w:iCs/>
        </w:rPr>
        <w:t>LRIT</w:t>
      </w:r>
      <w:r>
        <w:t xml:space="preserve"> informācijas sniegšanai no 2010. gada 3. decembra (“0,25 ASV dolāru 1:2:6” izmaksu aprēķināšanas modelis, t. i., vienreizējs </w:t>
      </w:r>
      <w:r>
        <w:rPr>
          <w:i/>
          <w:iCs/>
        </w:rPr>
        <w:t>LRIT</w:t>
      </w:r>
      <w:r>
        <w:t xml:space="preserve"> atrašanās vietas ziņojums – 0,25 ASV dolāri, raidītaicināts </w:t>
      </w:r>
      <w:r>
        <w:rPr>
          <w:i/>
          <w:iCs/>
        </w:rPr>
        <w:t>LRIT</w:t>
      </w:r>
      <w:r>
        <w:t xml:space="preserve"> atrašanās vietas ziņojums – 0,50 ASV dolāri, un pārraides ātruma izmaiņas – 3 ASV dolāri (1,50 ASV dolāri x 2));</w:t>
      </w:r>
    </w:p>
    <w:p w14:paraId="0404ECB8" w14:textId="77777777" w:rsidR="0010576A" w:rsidRPr="001C6EE6" w:rsidRDefault="0010576A" w:rsidP="001C6EE6">
      <w:pPr>
        <w:jc w:val="both"/>
        <w:rPr>
          <w:rFonts w:ascii="Times New Roman" w:eastAsia="Arial" w:hAnsi="Times New Roman" w:cs="Times New Roman"/>
          <w:noProof/>
          <w:sz w:val="24"/>
          <w:szCs w:val="24"/>
        </w:rPr>
      </w:pPr>
    </w:p>
    <w:p w14:paraId="4BF9FE7F" w14:textId="77777777" w:rsidR="0010576A" w:rsidRPr="001C6EE6" w:rsidRDefault="0010576A" w:rsidP="007465D6">
      <w:pPr>
        <w:pStyle w:val="BodyText"/>
      </w:pPr>
      <w:r>
        <w:t xml:space="preserve">ŅEMOT VĒRĀ ARĪ to, ka savā astoņdesmit devītajā sesijā tā vienojās par to, ka iepriekšminētā izmaksu aprēķināšanas modeļa izveides dēļ starptautiskās </w:t>
      </w:r>
      <w:r>
        <w:rPr>
          <w:i/>
          <w:iCs/>
        </w:rPr>
        <w:t>LRIT</w:t>
      </w:r>
      <w:r>
        <w:t xml:space="preserve"> datu apmaiņas uzturētais pamatsaraksts, kas saistīts ar </w:t>
      </w:r>
      <w:r>
        <w:rPr>
          <w:i/>
          <w:iCs/>
        </w:rPr>
        <w:t>LRIT</w:t>
      </w:r>
      <w:r>
        <w:t xml:space="preserve"> datu centru iekasētajiem maksājumiem, vairs nav nepieciešams, kad tiek sniegta </w:t>
      </w:r>
      <w:r>
        <w:rPr>
          <w:i/>
          <w:iCs/>
        </w:rPr>
        <w:t>LRIT</w:t>
      </w:r>
      <w:r>
        <w:t xml:space="preserve"> informācija;</w:t>
      </w:r>
    </w:p>
    <w:p w14:paraId="50A53C0E" w14:textId="77777777" w:rsidR="0010576A" w:rsidRPr="001C6EE6" w:rsidRDefault="0010576A" w:rsidP="001C6EE6">
      <w:pPr>
        <w:jc w:val="both"/>
        <w:rPr>
          <w:rFonts w:ascii="Times New Roman" w:eastAsia="Arial" w:hAnsi="Times New Roman" w:cs="Times New Roman"/>
          <w:noProof/>
          <w:sz w:val="24"/>
          <w:szCs w:val="24"/>
        </w:rPr>
      </w:pPr>
    </w:p>
    <w:p w14:paraId="6DFDD0D5" w14:textId="77777777" w:rsidR="0010576A" w:rsidRPr="001C6EE6" w:rsidRDefault="0010576A" w:rsidP="007465D6">
      <w:pPr>
        <w:pStyle w:val="BodyText"/>
      </w:pPr>
      <w:r>
        <w:t>savā deviņdesmitajā sesijā IZSKATĪJUSI nepieciešamību pieņemt noteiktus grozījumus Pārskatītajos veiktspējas standartos,</w:t>
      </w:r>
    </w:p>
    <w:p w14:paraId="3D415CDC" w14:textId="77777777" w:rsidR="0010576A" w:rsidRPr="001C6EE6" w:rsidRDefault="0010576A" w:rsidP="001C6EE6">
      <w:pPr>
        <w:jc w:val="both"/>
        <w:rPr>
          <w:rFonts w:ascii="Times New Roman" w:eastAsia="Arial" w:hAnsi="Times New Roman" w:cs="Times New Roman"/>
          <w:noProof/>
          <w:sz w:val="24"/>
          <w:szCs w:val="24"/>
        </w:rPr>
      </w:pPr>
    </w:p>
    <w:p w14:paraId="0F9449E7" w14:textId="6B91A8BC" w:rsidR="0010576A" w:rsidRPr="001C6EE6" w:rsidRDefault="00234A46" w:rsidP="00234A46">
      <w:pPr>
        <w:pStyle w:val="BodyText"/>
      </w:pPr>
      <w:r>
        <w:t>1. PIEŅEM grozījumus Pārskatītajos veiktspējas standartos un funkcionālajās prasībās kuģu tāldarbības identifikācijas un sekošanas sistēmai (rezolūcija MSC.263(84)), kas izklāstīti šīs rezolūcijas pielikumā;</w:t>
      </w:r>
    </w:p>
    <w:p w14:paraId="46E3DE90" w14:textId="77777777" w:rsidR="0010576A" w:rsidRPr="001C6EE6" w:rsidRDefault="0010576A" w:rsidP="001C6EE6">
      <w:pPr>
        <w:jc w:val="both"/>
        <w:rPr>
          <w:rFonts w:ascii="Times New Roman" w:eastAsia="Arial" w:hAnsi="Times New Roman" w:cs="Times New Roman"/>
          <w:noProof/>
          <w:sz w:val="24"/>
          <w:szCs w:val="24"/>
        </w:rPr>
      </w:pPr>
    </w:p>
    <w:p w14:paraId="0FBEA143" w14:textId="4F35D1E7" w:rsidR="005407DF" w:rsidRDefault="00234A46" w:rsidP="001B3683">
      <w:pPr>
        <w:pStyle w:val="BodyText"/>
      </w:pPr>
      <w:r>
        <w:t>2. AICINA Konvencijas Līgumslēdzējas valdības informēt visas iesaistītās puses par iepriekš minētajiem grozījumiem.</w:t>
      </w:r>
      <w:r w:rsidR="005407DF">
        <w:br w:type="page"/>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A265A6" w14:paraId="3D3BD130" w14:textId="77777777" w:rsidTr="00144B00">
        <w:tc>
          <w:tcPr>
            <w:tcW w:w="5000" w:type="pct"/>
          </w:tcPr>
          <w:p w14:paraId="2245035E" w14:textId="77777777" w:rsidR="00A265A6" w:rsidRPr="00A265A6" w:rsidRDefault="00A265A6" w:rsidP="00A265A6">
            <w:pPr>
              <w:pStyle w:val="BodyText"/>
              <w:rPr>
                <w:sz w:val="22"/>
                <w:szCs w:val="22"/>
              </w:rPr>
            </w:pPr>
            <w:r>
              <w:rPr>
                <w:sz w:val="22"/>
              </w:rPr>
              <w:lastRenderedPageBreak/>
              <w:t>MSC 90/28/Add.1</w:t>
            </w:r>
          </w:p>
          <w:p w14:paraId="59D78CA7" w14:textId="170DBD96" w:rsidR="00A265A6" w:rsidRDefault="00A265A6" w:rsidP="00A265A6">
            <w:pPr>
              <w:pStyle w:val="BodyText"/>
            </w:pPr>
            <w:r>
              <w:rPr>
                <w:sz w:val="22"/>
              </w:rPr>
              <w:t>11. pielikums, 2. lpp.</w:t>
            </w:r>
          </w:p>
        </w:tc>
      </w:tr>
    </w:tbl>
    <w:p w14:paraId="474B2345" w14:textId="03381CF1" w:rsidR="00F36BF1" w:rsidRDefault="00F36BF1" w:rsidP="001C6EE6">
      <w:pPr>
        <w:jc w:val="both"/>
        <w:rPr>
          <w:rFonts w:ascii="Times New Roman" w:hAnsi="Times New Roman" w:cs="Times New Roman"/>
          <w:noProof/>
          <w:sz w:val="24"/>
          <w:szCs w:val="24"/>
        </w:rPr>
      </w:pPr>
    </w:p>
    <w:p w14:paraId="5B5E0819" w14:textId="77777777" w:rsidR="0010576A" w:rsidRPr="001C6EE6" w:rsidRDefault="0010576A" w:rsidP="00234A46">
      <w:pPr>
        <w:pStyle w:val="BodyText"/>
        <w:jc w:val="center"/>
      </w:pPr>
      <w:r>
        <w:t>PIELIKUMS</w:t>
      </w:r>
    </w:p>
    <w:p w14:paraId="41698977" w14:textId="77777777" w:rsidR="0010576A" w:rsidRPr="001C6EE6" w:rsidRDefault="0010576A" w:rsidP="00234A46">
      <w:pPr>
        <w:jc w:val="center"/>
        <w:rPr>
          <w:rFonts w:ascii="Times New Roman" w:eastAsia="Arial" w:hAnsi="Times New Roman" w:cs="Times New Roman"/>
          <w:noProof/>
          <w:sz w:val="24"/>
          <w:szCs w:val="24"/>
        </w:rPr>
      </w:pPr>
    </w:p>
    <w:p w14:paraId="08CB60AB" w14:textId="77777777" w:rsidR="0010576A" w:rsidRPr="001C6EE6" w:rsidRDefault="0010576A" w:rsidP="00234A46">
      <w:pPr>
        <w:pStyle w:val="Heading1"/>
        <w:ind w:left="0"/>
        <w:jc w:val="center"/>
        <w:rPr>
          <w:rFonts w:ascii="Times New Roman" w:hAnsi="Times New Roman" w:cs="Times New Roman"/>
          <w:noProof/>
          <w:sz w:val="24"/>
          <w:szCs w:val="24"/>
        </w:rPr>
      </w:pPr>
      <w:r>
        <w:rPr>
          <w:rFonts w:ascii="Times New Roman" w:hAnsi="Times New Roman"/>
          <w:sz w:val="24"/>
        </w:rPr>
        <w:t>GROZĪJUMI PĀRSKATĪTAJOS VEIKTSPĒJAS STANDARTOS UN FUNKCIONĀLAJĀS PRASĪBĀS KUĢU TĀLDARBĪBAS IDENTIFIKĀCIJAS UN SEKOŠANAS SISTĒMAI (REZOLŪCIJA MSC.263(84))</w:t>
      </w:r>
    </w:p>
    <w:p w14:paraId="7D4829B4" w14:textId="77777777" w:rsidR="0010576A" w:rsidRPr="001C6EE6" w:rsidRDefault="0010576A" w:rsidP="001C6EE6">
      <w:pPr>
        <w:jc w:val="both"/>
        <w:rPr>
          <w:rFonts w:ascii="Times New Roman" w:eastAsia="Arial" w:hAnsi="Times New Roman" w:cs="Times New Roman"/>
          <w:b/>
          <w:bCs/>
          <w:noProof/>
          <w:sz w:val="24"/>
          <w:szCs w:val="24"/>
        </w:rPr>
      </w:pPr>
    </w:p>
    <w:p w14:paraId="21756B96" w14:textId="50199FE4" w:rsidR="0010576A" w:rsidRPr="001C6EE6" w:rsidRDefault="00234A46" w:rsidP="00234A46">
      <w:pPr>
        <w:pStyle w:val="BodyText"/>
      </w:pPr>
      <w:r>
        <w:t>1. Pašreizējais 7.4.3. apakšpunkts ir svītrots.</w:t>
      </w:r>
    </w:p>
    <w:p w14:paraId="30AD2A91" w14:textId="77777777" w:rsidR="0010576A" w:rsidRPr="001C6EE6" w:rsidRDefault="0010576A" w:rsidP="001C6EE6">
      <w:pPr>
        <w:jc w:val="both"/>
        <w:rPr>
          <w:rFonts w:ascii="Times New Roman" w:eastAsia="Arial" w:hAnsi="Times New Roman" w:cs="Times New Roman"/>
          <w:noProof/>
          <w:sz w:val="24"/>
          <w:szCs w:val="24"/>
        </w:rPr>
      </w:pPr>
    </w:p>
    <w:p w14:paraId="7E46C4AE" w14:textId="46568469" w:rsidR="0010576A" w:rsidRPr="001C6EE6" w:rsidRDefault="00234A46" w:rsidP="00234A46">
      <w:pPr>
        <w:pStyle w:val="BodyText"/>
      </w:pPr>
      <w:r>
        <w:t xml:space="preserve">2. Pašreizējais 10.3.15. apakšpunkta teksts ir svītrots un aizstāts ar tekstu šādā redakcijā: “10.3.15. saņemt informāciju par cenām no </w:t>
      </w:r>
      <w:r>
        <w:rPr>
          <w:i/>
          <w:iCs/>
        </w:rPr>
        <w:t>LRIT</w:t>
      </w:r>
      <w:r>
        <w:t xml:space="preserve"> datu centriem.”</w:t>
      </w:r>
    </w:p>
    <w:p w14:paraId="7BF43667" w14:textId="77777777" w:rsidR="0010576A" w:rsidRPr="001C6EE6" w:rsidRDefault="0010576A" w:rsidP="001C6EE6">
      <w:pPr>
        <w:jc w:val="both"/>
        <w:rPr>
          <w:rFonts w:ascii="Times New Roman" w:eastAsia="Arial" w:hAnsi="Times New Roman" w:cs="Times New Roman"/>
          <w:noProof/>
          <w:sz w:val="24"/>
          <w:szCs w:val="24"/>
        </w:rPr>
      </w:pPr>
    </w:p>
    <w:p w14:paraId="62D7FC89" w14:textId="41C8AE54" w:rsidR="0010576A" w:rsidRDefault="0010576A" w:rsidP="00F36BF1">
      <w:pPr>
        <w:pStyle w:val="BodyText"/>
        <w:jc w:val="center"/>
      </w:pPr>
      <w:r>
        <w:t>***</w:t>
      </w:r>
    </w:p>
    <w:p w14:paraId="4AD4B44A" w14:textId="35952789" w:rsidR="00A265A6" w:rsidRDefault="00A265A6" w:rsidP="00A265A6">
      <w:pPr>
        <w:pStyle w:val="BodyText"/>
      </w:pPr>
    </w:p>
    <w:p w14:paraId="361A924E" w14:textId="346B8484" w:rsidR="00A265A6" w:rsidRDefault="00A265A6" w:rsidP="00A265A6">
      <w:pPr>
        <w:pStyle w:val="BodyText"/>
      </w:pPr>
    </w:p>
    <w:p w14:paraId="1BC78F0D" w14:textId="51C7AA0E" w:rsidR="00A265A6" w:rsidRDefault="00A265A6" w:rsidP="00A265A6">
      <w:pPr>
        <w:pStyle w:val="BodyText"/>
      </w:pPr>
    </w:p>
    <w:p w14:paraId="73D3CE19" w14:textId="1F968E51" w:rsidR="00A265A6" w:rsidRDefault="00A265A6" w:rsidP="00A265A6">
      <w:pPr>
        <w:pStyle w:val="BodyText"/>
      </w:pPr>
    </w:p>
    <w:p w14:paraId="6DDE8F5E" w14:textId="0E2EF01A" w:rsidR="00A265A6" w:rsidRDefault="00A265A6" w:rsidP="00A265A6">
      <w:pPr>
        <w:pStyle w:val="BodyText"/>
      </w:pPr>
    </w:p>
    <w:p w14:paraId="39BDDF1A" w14:textId="4424B120" w:rsidR="00A265A6" w:rsidRDefault="00A265A6" w:rsidP="00A265A6">
      <w:pPr>
        <w:pStyle w:val="BodyText"/>
      </w:pPr>
    </w:p>
    <w:p w14:paraId="4EABF9CE" w14:textId="369B443B" w:rsidR="00A265A6" w:rsidRDefault="00A265A6" w:rsidP="00A265A6">
      <w:pPr>
        <w:pStyle w:val="BodyText"/>
      </w:pPr>
    </w:p>
    <w:p w14:paraId="7D955097" w14:textId="6441A3CB" w:rsidR="00A265A6" w:rsidRDefault="00A265A6" w:rsidP="00A265A6">
      <w:pPr>
        <w:pStyle w:val="BodyText"/>
      </w:pPr>
    </w:p>
    <w:p w14:paraId="45359529" w14:textId="33A82DBF" w:rsidR="00A265A6" w:rsidRDefault="00A265A6" w:rsidP="00A265A6">
      <w:pPr>
        <w:pStyle w:val="BodyText"/>
      </w:pPr>
    </w:p>
    <w:p w14:paraId="55EFC8C9" w14:textId="6AF69D09" w:rsidR="00A265A6" w:rsidRDefault="00A265A6" w:rsidP="00A265A6">
      <w:pPr>
        <w:pStyle w:val="BodyText"/>
      </w:pPr>
    </w:p>
    <w:p w14:paraId="11F35031" w14:textId="3E582D42" w:rsidR="00A265A6" w:rsidRDefault="00A265A6" w:rsidP="00A265A6">
      <w:pPr>
        <w:pStyle w:val="BodyText"/>
      </w:pPr>
    </w:p>
    <w:p w14:paraId="57CD256D" w14:textId="7421A860" w:rsidR="00A265A6" w:rsidRDefault="00A265A6" w:rsidP="00A265A6">
      <w:pPr>
        <w:pStyle w:val="BodyText"/>
      </w:pPr>
    </w:p>
    <w:p w14:paraId="4A456CA7" w14:textId="64660D38" w:rsidR="00A265A6" w:rsidRDefault="00A265A6" w:rsidP="00A265A6">
      <w:pPr>
        <w:pStyle w:val="BodyText"/>
      </w:pPr>
    </w:p>
    <w:p w14:paraId="3A161348" w14:textId="7BEE873F" w:rsidR="00A265A6" w:rsidRDefault="00A265A6" w:rsidP="00A265A6">
      <w:pPr>
        <w:pStyle w:val="BodyText"/>
      </w:pPr>
    </w:p>
    <w:p w14:paraId="08C770C7" w14:textId="663E438E" w:rsidR="00A265A6" w:rsidRDefault="00A265A6" w:rsidP="00A265A6">
      <w:pPr>
        <w:pStyle w:val="BodyText"/>
      </w:pPr>
    </w:p>
    <w:p w14:paraId="7DB28070" w14:textId="43F6516F" w:rsidR="00A265A6" w:rsidRDefault="00A265A6" w:rsidP="00A265A6">
      <w:pPr>
        <w:pStyle w:val="BodyText"/>
      </w:pPr>
    </w:p>
    <w:p w14:paraId="5B9ED5D5" w14:textId="777E234B" w:rsidR="00A265A6" w:rsidRDefault="00A265A6" w:rsidP="00A265A6">
      <w:pPr>
        <w:pStyle w:val="BodyText"/>
      </w:pPr>
    </w:p>
    <w:p w14:paraId="3D1CE90F" w14:textId="1925C52F" w:rsidR="00A265A6" w:rsidRDefault="00A265A6" w:rsidP="00A265A6">
      <w:pPr>
        <w:pStyle w:val="BodyText"/>
      </w:pPr>
    </w:p>
    <w:p w14:paraId="590A62A8" w14:textId="7E77A4EA" w:rsidR="00A265A6" w:rsidRDefault="00A265A6" w:rsidP="00A265A6">
      <w:pPr>
        <w:pStyle w:val="BodyText"/>
      </w:pPr>
    </w:p>
    <w:p w14:paraId="4EFE95B3" w14:textId="17C1D510" w:rsidR="00A265A6" w:rsidRDefault="00A265A6" w:rsidP="00A265A6">
      <w:pPr>
        <w:pStyle w:val="BodyText"/>
      </w:pPr>
    </w:p>
    <w:p w14:paraId="021782E9" w14:textId="5B05CBAE" w:rsidR="00A265A6" w:rsidRDefault="00A265A6" w:rsidP="00A265A6">
      <w:pPr>
        <w:pStyle w:val="BodyText"/>
      </w:pPr>
    </w:p>
    <w:p w14:paraId="0863C468" w14:textId="76728D5D" w:rsidR="00A265A6" w:rsidRDefault="00A265A6" w:rsidP="00A265A6">
      <w:pPr>
        <w:pStyle w:val="BodyText"/>
      </w:pPr>
    </w:p>
    <w:p w14:paraId="23A622D8" w14:textId="37938E43" w:rsidR="00A265A6" w:rsidRDefault="00A265A6" w:rsidP="00A265A6">
      <w:pPr>
        <w:pStyle w:val="BodyText"/>
      </w:pPr>
    </w:p>
    <w:p w14:paraId="32C5795B" w14:textId="5CCD69CE" w:rsidR="00A265A6" w:rsidRDefault="00A265A6" w:rsidP="00A265A6">
      <w:pPr>
        <w:pStyle w:val="BodyText"/>
      </w:pPr>
    </w:p>
    <w:p w14:paraId="4F60E431" w14:textId="531F1C44" w:rsidR="00A265A6" w:rsidRDefault="00A265A6" w:rsidP="00A265A6">
      <w:pPr>
        <w:pStyle w:val="BodyText"/>
      </w:pPr>
    </w:p>
    <w:p w14:paraId="3DB3C92B" w14:textId="67608205" w:rsidR="00A265A6" w:rsidRDefault="00A265A6" w:rsidP="00A265A6">
      <w:pPr>
        <w:pStyle w:val="BodyText"/>
      </w:pPr>
    </w:p>
    <w:p w14:paraId="7C68F4FF" w14:textId="618BCC27" w:rsidR="00913DD5" w:rsidRDefault="00913DD5" w:rsidP="00A265A6">
      <w:pPr>
        <w:pStyle w:val="BodyText"/>
      </w:pPr>
    </w:p>
    <w:p w14:paraId="4B23D533" w14:textId="38B6E7FC" w:rsidR="00913DD5" w:rsidRDefault="00913DD5" w:rsidP="00A265A6">
      <w:pPr>
        <w:pStyle w:val="BodyText"/>
      </w:pPr>
    </w:p>
    <w:p w14:paraId="5BEE7BF2" w14:textId="77777777" w:rsidR="00913DD5" w:rsidRDefault="00913DD5" w:rsidP="00A265A6">
      <w:pPr>
        <w:pStyle w:val="BodyText"/>
      </w:pPr>
    </w:p>
    <w:p w14:paraId="71CAFC4E" w14:textId="5A39333E" w:rsidR="00A265A6" w:rsidRDefault="00A265A6" w:rsidP="00A265A6">
      <w:pPr>
        <w:pStyle w:val="BodyText"/>
      </w:pPr>
    </w:p>
    <w:p w14:paraId="5F6FA7FE" w14:textId="598C91BD" w:rsidR="00144B00" w:rsidRDefault="00144B00" w:rsidP="00A265A6">
      <w:pPr>
        <w:pStyle w:val="BodyText"/>
      </w:pPr>
    </w:p>
    <w:p w14:paraId="18E7B40C" w14:textId="77777777" w:rsidR="00144B00" w:rsidRDefault="00144B00" w:rsidP="00A265A6">
      <w:pPr>
        <w:pStyle w:val="BodyText"/>
      </w:pPr>
    </w:p>
    <w:p w14:paraId="54497B9A" w14:textId="2217AA33" w:rsidR="00A265A6" w:rsidRDefault="00A265A6" w:rsidP="00A265A6">
      <w:pPr>
        <w:pStyle w:val="BodyText"/>
      </w:pPr>
    </w:p>
    <w:p w14:paraId="00E9258C" w14:textId="0B52161F" w:rsidR="00A265A6" w:rsidRDefault="00A265A6" w:rsidP="00A265A6">
      <w:pPr>
        <w:pStyle w:val="BodyText"/>
      </w:pPr>
    </w:p>
    <w:p w14:paraId="672767D2" w14:textId="541A3022" w:rsidR="00A265A6" w:rsidRDefault="00A265A6" w:rsidP="00A265A6">
      <w:pPr>
        <w:pStyle w:val="BodyText"/>
        <w:tabs>
          <w:tab w:val="left" w:leader="underscore" w:pos="9072"/>
        </w:tabs>
      </w:pPr>
      <w:r>
        <w:tab/>
      </w:r>
    </w:p>
    <w:p w14:paraId="0BB570BB" w14:textId="01A2B653" w:rsidR="00A265A6" w:rsidRPr="00144B00" w:rsidRDefault="00A265A6" w:rsidP="00A265A6">
      <w:pPr>
        <w:pStyle w:val="BodyText"/>
        <w:tabs>
          <w:tab w:val="left" w:leader="underscore" w:pos="9072"/>
        </w:tabs>
        <w:rPr>
          <w:sz w:val="22"/>
          <w:szCs w:val="22"/>
        </w:rPr>
      </w:pPr>
      <w:r>
        <w:rPr>
          <w:sz w:val="22"/>
        </w:rPr>
        <w:t>I: \MSC\90\28-Add-1.doc</w:t>
      </w:r>
    </w:p>
    <w:sectPr w:rsidR="00A265A6" w:rsidRPr="00144B00" w:rsidSect="001C6EE6">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F2A34" w14:textId="77777777" w:rsidR="006A23B7" w:rsidRPr="0010576A" w:rsidRDefault="006A23B7">
      <w:pPr>
        <w:rPr>
          <w:noProof/>
        </w:rPr>
      </w:pPr>
      <w:r w:rsidRPr="0010576A">
        <w:rPr>
          <w:noProof/>
        </w:rPr>
        <w:separator/>
      </w:r>
    </w:p>
  </w:endnote>
  <w:endnote w:type="continuationSeparator" w:id="0">
    <w:p w14:paraId="2286C2E4" w14:textId="77777777" w:rsidR="006A23B7" w:rsidRPr="0010576A" w:rsidRDefault="006A23B7">
      <w:pPr>
        <w:rPr>
          <w:noProof/>
        </w:rPr>
      </w:pPr>
      <w:r w:rsidRPr="0010576A">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667EB" w14:textId="77777777" w:rsidR="000F7529" w:rsidRPr="003E47FA" w:rsidRDefault="000F7529" w:rsidP="000F7529">
    <w:pPr>
      <w:pStyle w:val="Header"/>
      <w:tabs>
        <w:tab w:val="left" w:pos="9072"/>
      </w:tabs>
      <w:jc w:val="both"/>
      <w:rPr>
        <w:rStyle w:val="PageNumber"/>
        <w:rFonts w:ascii="Times New Roman" w:hAnsi="Times New Roman" w:cs="Times New Roman"/>
        <w:sz w:val="20"/>
        <w:szCs w:val="20"/>
      </w:rPr>
    </w:pPr>
  </w:p>
  <w:p w14:paraId="43FDA1AD" w14:textId="77777777" w:rsidR="000F7529" w:rsidRPr="003E47FA" w:rsidRDefault="000F7529" w:rsidP="000F7529">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43034B3" w14:textId="77777777" w:rsidR="000F7529" w:rsidRPr="003E47FA" w:rsidRDefault="000F7529" w:rsidP="000F7529">
    <w:pPr>
      <w:pStyle w:val="Header"/>
      <w:tabs>
        <w:tab w:val="right" w:pos="9072"/>
      </w:tabs>
      <w:jc w:val="both"/>
      <w:rPr>
        <w:rStyle w:val="PageNumber"/>
        <w:rFonts w:ascii="Times New Roman" w:hAnsi="Times New Roman" w:cs="Times New Roman"/>
        <w:sz w:val="20"/>
        <w:szCs w:val="20"/>
      </w:rPr>
    </w:pPr>
  </w:p>
  <w:p w14:paraId="7862A279" w14:textId="77777777" w:rsidR="000F7529" w:rsidRPr="003E47FA" w:rsidRDefault="000F7529" w:rsidP="000F7529">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sidR="00AD7625">
      <w:rPr>
        <w:rStyle w:val="PageNumber"/>
        <w:rFonts w:ascii="Times New Roman" w:hAnsi="Times New Roman" w:cs="Times New Roman"/>
        <w:noProof/>
        <w:sz w:val="20"/>
        <w:szCs w:val="20"/>
      </w:rPr>
      <w:t>3</w:t>
    </w:r>
    <w:r w:rsidRPr="003E47FA">
      <w:rPr>
        <w:rStyle w:val="PageNumber"/>
        <w:rFonts w:ascii="Times New Roman" w:hAnsi="Times New Roman" w:cs="Times New Roman"/>
        <w:sz w:val="20"/>
        <w:szCs w:val="20"/>
      </w:rPr>
      <w:fldChar w:fldCharType="end"/>
    </w:r>
  </w:p>
  <w:p w14:paraId="3897434F" w14:textId="77777777" w:rsidR="00AF05D8" w:rsidRPr="0010576A" w:rsidRDefault="00AF05D8">
    <w:pPr>
      <w:spacing w:line="14" w:lineRule="auto"/>
      <w:rPr>
        <w:noProof/>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065EC" w14:textId="77777777" w:rsidR="00326736" w:rsidRPr="003F25D0" w:rsidRDefault="00326736" w:rsidP="00326736">
    <w:pPr>
      <w:pStyle w:val="Header"/>
      <w:tabs>
        <w:tab w:val="left" w:pos="9072"/>
      </w:tabs>
      <w:jc w:val="both"/>
      <w:rPr>
        <w:rStyle w:val="PageNumber"/>
        <w:rFonts w:ascii="Times New Roman" w:hAnsi="Times New Roman"/>
        <w:sz w:val="20"/>
        <w:szCs w:val="18"/>
      </w:rPr>
    </w:pPr>
    <w:bookmarkStart w:id="15" w:name="_Hlk496261764"/>
    <w:bookmarkStart w:id="16" w:name="_Hlk496261765"/>
    <w:bookmarkStart w:id="17" w:name="_Hlk496261766"/>
    <w:bookmarkStart w:id="18" w:name="_Hlk30491075"/>
    <w:bookmarkStart w:id="19" w:name="_Hlk30491076"/>
  </w:p>
  <w:p w14:paraId="6F92C115" w14:textId="77777777" w:rsidR="00326736" w:rsidRPr="003F25D0" w:rsidRDefault="00326736" w:rsidP="00326736">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C06453A" w14:textId="77777777" w:rsidR="00326736" w:rsidRPr="003F25D0" w:rsidRDefault="00326736" w:rsidP="00326736">
    <w:pPr>
      <w:pStyle w:val="Header"/>
      <w:tabs>
        <w:tab w:val="left" w:pos="9072"/>
      </w:tabs>
      <w:jc w:val="both"/>
      <w:rPr>
        <w:rStyle w:val="PageNumber"/>
        <w:rFonts w:ascii="Times New Roman" w:hAnsi="Times New Roman"/>
        <w:sz w:val="20"/>
        <w:szCs w:val="18"/>
      </w:rPr>
    </w:pPr>
  </w:p>
  <w:p w14:paraId="479AB2FD" w14:textId="77777777" w:rsidR="00326736" w:rsidRPr="003F25D0" w:rsidRDefault="00326736" w:rsidP="00326736">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sidRPr="003F25D0">
      <w:rPr>
        <w:rFonts w:ascii="Times New Roman" w:hAnsi="Times New Roman"/>
        <w:sz w:val="20"/>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32A5B" w14:textId="77777777" w:rsidR="006A23B7" w:rsidRPr="0010576A" w:rsidRDefault="006A23B7">
      <w:pPr>
        <w:rPr>
          <w:noProof/>
        </w:rPr>
      </w:pPr>
      <w:r w:rsidRPr="0010576A">
        <w:rPr>
          <w:noProof/>
        </w:rPr>
        <w:separator/>
      </w:r>
    </w:p>
  </w:footnote>
  <w:footnote w:type="continuationSeparator" w:id="0">
    <w:p w14:paraId="48170DFD" w14:textId="77777777" w:rsidR="006A23B7" w:rsidRPr="0010576A" w:rsidRDefault="006A23B7">
      <w:pPr>
        <w:rPr>
          <w:noProof/>
        </w:rPr>
      </w:pPr>
      <w:r w:rsidRPr="0010576A">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8B8CC" w14:textId="77777777" w:rsidR="00F60443" w:rsidRPr="0075517C" w:rsidRDefault="00F60443" w:rsidP="00F60443">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B164FDC" w14:textId="77777777" w:rsidR="00F60443" w:rsidRPr="0075517C" w:rsidRDefault="00F60443" w:rsidP="00F60443">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02029E64" w14:textId="77777777" w:rsidR="00F60443" w:rsidRPr="0075517C" w:rsidRDefault="00F60443" w:rsidP="00F60443">
    <w:pPr>
      <w:pStyle w:val="Header"/>
      <w:rPr>
        <w:rFonts w:ascii="Times New Roman" w:hAnsi="Times New Roman" w:cs="Times New Roman"/>
        <w:sz w:val="20"/>
        <w:szCs w:val="20"/>
      </w:rPr>
    </w:pPr>
  </w:p>
  <w:p w14:paraId="3897434E" w14:textId="4F3C8598" w:rsidR="00AF05D8" w:rsidRPr="0010576A" w:rsidRDefault="00AF05D8">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6E1B" w14:textId="77777777" w:rsidR="00396BE4" w:rsidRPr="000F66E7" w:rsidRDefault="00396BE4" w:rsidP="00396BE4">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2F21A819" w14:textId="77777777" w:rsidR="00396BE4" w:rsidRDefault="00396BE4" w:rsidP="00396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205C1"/>
    <w:multiLevelType w:val="hybridMultilevel"/>
    <w:tmpl w:val="F182A126"/>
    <w:lvl w:ilvl="0" w:tplc="DABA9BE6">
      <w:start w:val="1"/>
      <w:numFmt w:val="decimal"/>
      <w:lvlText w:val="%1."/>
      <w:lvlJc w:val="left"/>
      <w:pPr>
        <w:ind w:left="138" w:hanging="853"/>
      </w:pPr>
      <w:rPr>
        <w:rFonts w:ascii="Arial" w:eastAsia="Arial" w:hAnsi="Arial" w:hint="default"/>
        <w:spacing w:val="-1"/>
        <w:sz w:val="22"/>
        <w:szCs w:val="22"/>
      </w:rPr>
    </w:lvl>
    <w:lvl w:ilvl="1" w:tplc="34DE99A6">
      <w:start w:val="1"/>
      <w:numFmt w:val="bullet"/>
      <w:lvlText w:val="•"/>
      <w:lvlJc w:val="left"/>
      <w:pPr>
        <w:ind w:left="1059" w:hanging="853"/>
      </w:pPr>
      <w:rPr>
        <w:rFonts w:hint="default"/>
      </w:rPr>
    </w:lvl>
    <w:lvl w:ilvl="2" w:tplc="0B6C7B4A">
      <w:start w:val="1"/>
      <w:numFmt w:val="bullet"/>
      <w:lvlText w:val="•"/>
      <w:lvlJc w:val="left"/>
      <w:pPr>
        <w:ind w:left="1980" w:hanging="853"/>
      </w:pPr>
      <w:rPr>
        <w:rFonts w:hint="default"/>
      </w:rPr>
    </w:lvl>
    <w:lvl w:ilvl="3" w:tplc="3E443B40">
      <w:start w:val="1"/>
      <w:numFmt w:val="bullet"/>
      <w:lvlText w:val="•"/>
      <w:lvlJc w:val="left"/>
      <w:pPr>
        <w:ind w:left="2901" w:hanging="853"/>
      </w:pPr>
      <w:rPr>
        <w:rFonts w:hint="default"/>
      </w:rPr>
    </w:lvl>
    <w:lvl w:ilvl="4" w:tplc="6302ABA2">
      <w:start w:val="1"/>
      <w:numFmt w:val="bullet"/>
      <w:lvlText w:val="•"/>
      <w:lvlJc w:val="left"/>
      <w:pPr>
        <w:ind w:left="3821" w:hanging="853"/>
      </w:pPr>
      <w:rPr>
        <w:rFonts w:hint="default"/>
      </w:rPr>
    </w:lvl>
    <w:lvl w:ilvl="5" w:tplc="EA041F2A">
      <w:start w:val="1"/>
      <w:numFmt w:val="bullet"/>
      <w:lvlText w:val="•"/>
      <w:lvlJc w:val="left"/>
      <w:pPr>
        <w:ind w:left="4742" w:hanging="853"/>
      </w:pPr>
      <w:rPr>
        <w:rFonts w:hint="default"/>
      </w:rPr>
    </w:lvl>
    <w:lvl w:ilvl="6" w:tplc="D55E1262">
      <w:start w:val="1"/>
      <w:numFmt w:val="bullet"/>
      <w:lvlText w:val="•"/>
      <w:lvlJc w:val="left"/>
      <w:pPr>
        <w:ind w:left="5663" w:hanging="853"/>
      </w:pPr>
      <w:rPr>
        <w:rFonts w:hint="default"/>
      </w:rPr>
    </w:lvl>
    <w:lvl w:ilvl="7" w:tplc="B09A7500">
      <w:start w:val="1"/>
      <w:numFmt w:val="bullet"/>
      <w:lvlText w:val="•"/>
      <w:lvlJc w:val="left"/>
      <w:pPr>
        <w:ind w:left="6584" w:hanging="853"/>
      </w:pPr>
      <w:rPr>
        <w:rFonts w:hint="default"/>
      </w:rPr>
    </w:lvl>
    <w:lvl w:ilvl="8" w:tplc="12AA6564">
      <w:start w:val="1"/>
      <w:numFmt w:val="bullet"/>
      <w:lvlText w:val="•"/>
      <w:lvlJc w:val="left"/>
      <w:pPr>
        <w:ind w:left="7504" w:hanging="853"/>
      </w:pPr>
      <w:rPr>
        <w:rFonts w:hint="default"/>
      </w:rPr>
    </w:lvl>
  </w:abstractNum>
  <w:abstractNum w:abstractNumId="1" w15:restartNumberingAfterBreak="0">
    <w:nsid w:val="1DF45F9C"/>
    <w:multiLevelType w:val="hybridMultilevel"/>
    <w:tmpl w:val="442CB2E4"/>
    <w:lvl w:ilvl="0" w:tplc="70E8EF80">
      <w:start w:val="1"/>
      <w:numFmt w:val="decimal"/>
      <w:lvlText w:val="%1"/>
      <w:lvlJc w:val="left"/>
      <w:pPr>
        <w:ind w:left="990" w:hanging="852"/>
      </w:pPr>
      <w:rPr>
        <w:rFonts w:ascii="Arial" w:eastAsia="Arial" w:hAnsi="Arial" w:hint="default"/>
        <w:sz w:val="22"/>
        <w:szCs w:val="22"/>
      </w:rPr>
    </w:lvl>
    <w:lvl w:ilvl="1" w:tplc="B57E4DE2">
      <w:start w:val="1"/>
      <w:numFmt w:val="bullet"/>
      <w:lvlText w:val="•"/>
      <w:lvlJc w:val="left"/>
      <w:pPr>
        <w:ind w:left="1826" w:hanging="852"/>
      </w:pPr>
      <w:rPr>
        <w:rFonts w:hint="default"/>
      </w:rPr>
    </w:lvl>
    <w:lvl w:ilvl="2" w:tplc="5D2CD6E8">
      <w:start w:val="1"/>
      <w:numFmt w:val="bullet"/>
      <w:lvlText w:val="•"/>
      <w:lvlJc w:val="left"/>
      <w:pPr>
        <w:ind w:left="2661" w:hanging="852"/>
      </w:pPr>
      <w:rPr>
        <w:rFonts w:hint="default"/>
      </w:rPr>
    </w:lvl>
    <w:lvl w:ilvl="3" w:tplc="3FB6A53E">
      <w:start w:val="1"/>
      <w:numFmt w:val="bullet"/>
      <w:lvlText w:val="•"/>
      <w:lvlJc w:val="left"/>
      <w:pPr>
        <w:ind w:left="3497" w:hanging="852"/>
      </w:pPr>
      <w:rPr>
        <w:rFonts w:hint="default"/>
      </w:rPr>
    </w:lvl>
    <w:lvl w:ilvl="4" w:tplc="BC360070">
      <w:start w:val="1"/>
      <w:numFmt w:val="bullet"/>
      <w:lvlText w:val="•"/>
      <w:lvlJc w:val="left"/>
      <w:pPr>
        <w:ind w:left="4333" w:hanging="852"/>
      </w:pPr>
      <w:rPr>
        <w:rFonts w:hint="default"/>
      </w:rPr>
    </w:lvl>
    <w:lvl w:ilvl="5" w:tplc="19A0882C">
      <w:start w:val="1"/>
      <w:numFmt w:val="bullet"/>
      <w:lvlText w:val="•"/>
      <w:lvlJc w:val="left"/>
      <w:pPr>
        <w:ind w:left="5168" w:hanging="852"/>
      </w:pPr>
      <w:rPr>
        <w:rFonts w:hint="default"/>
      </w:rPr>
    </w:lvl>
    <w:lvl w:ilvl="6" w:tplc="913672CA">
      <w:start w:val="1"/>
      <w:numFmt w:val="bullet"/>
      <w:lvlText w:val="•"/>
      <w:lvlJc w:val="left"/>
      <w:pPr>
        <w:ind w:left="6004" w:hanging="852"/>
      </w:pPr>
      <w:rPr>
        <w:rFonts w:hint="default"/>
      </w:rPr>
    </w:lvl>
    <w:lvl w:ilvl="7" w:tplc="3F146706">
      <w:start w:val="1"/>
      <w:numFmt w:val="bullet"/>
      <w:lvlText w:val="•"/>
      <w:lvlJc w:val="left"/>
      <w:pPr>
        <w:ind w:left="6839" w:hanging="852"/>
      </w:pPr>
      <w:rPr>
        <w:rFonts w:hint="default"/>
      </w:rPr>
    </w:lvl>
    <w:lvl w:ilvl="8" w:tplc="D44E620E">
      <w:start w:val="1"/>
      <w:numFmt w:val="bullet"/>
      <w:lvlText w:val="•"/>
      <w:lvlJc w:val="left"/>
      <w:pPr>
        <w:ind w:left="7675" w:hanging="8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D8"/>
    <w:rsid w:val="00082CEE"/>
    <w:rsid w:val="000F7529"/>
    <w:rsid w:val="0010576A"/>
    <w:rsid w:val="00144B00"/>
    <w:rsid w:val="001B2F02"/>
    <w:rsid w:val="001B3683"/>
    <w:rsid w:val="001C6EE6"/>
    <w:rsid w:val="00234A46"/>
    <w:rsid w:val="002A49A5"/>
    <w:rsid w:val="00326736"/>
    <w:rsid w:val="00396BE4"/>
    <w:rsid w:val="003C085E"/>
    <w:rsid w:val="005407DF"/>
    <w:rsid w:val="0055537E"/>
    <w:rsid w:val="006A1F09"/>
    <w:rsid w:val="006A23B7"/>
    <w:rsid w:val="006E639F"/>
    <w:rsid w:val="007465D6"/>
    <w:rsid w:val="007D20D8"/>
    <w:rsid w:val="00913DD5"/>
    <w:rsid w:val="00A265A6"/>
    <w:rsid w:val="00AD7625"/>
    <w:rsid w:val="00AF05D8"/>
    <w:rsid w:val="00B25A04"/>
    <w:rsid w:val="00B97CD4"/>
    <w:rsid w:val="00D60473"/>
    <w:rsid w:val="00DB6FCD"/>
    <w:rsid w:val="00E01521"/>
    <w:rsid w:val="00F36BF1"/>
    <w:rsid w:val="00F60443"/>
    <w:rsid w:val="00FA1B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97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325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465D6"/>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0576A"/>
    <w:pPr>
      <w:tabs>
        <w:tab w:val="center" w:pos="4513"/>
        <w:tab w:val="right" w:pos="9026"/>
      </w:tabs>
    </w:pPr>
  </w:style>
  <w:style w:type="character" w:customStyle="1" w:styleId="HeaderChar">
    <w:name w:val="Header Char"/>
    <w:basedOn w:val="DefaultParagraphFont"/>
    <w:link w:val="Header"/>
    <w:rsid w:val="0010576A"/>
  </w:style>
  <w:style w:type="paragraph" w:styleId="Footer">
    <w:name w:val="footer"/>
    <w:basedOn w:val="Normal"/>
    <w:link w:val="FooterChar"/>
    <w:unhideWhenUsed/>
    <w:rsid w:val="0010576A"/>
    <w:pPr>
      <w:tabs>
        <w:tab w:val="center" w:pos="4513"/>
        <w:tab w:val="right" w:pos="9026"/>
      </w:tabs>
    </w:pPr>
  </w:style>
  <w:style w:type="character" w:customStyle="1" w:styleId="FooterChar">
    <w:name w:val="Footer Char"/>
    <w:basedOn w:val="DefaultParagraphFont"/>
    <w:link w:val="Footer"/>
    <w:rsid w:val="0010576A"/>
  </w:style>
  <w:style w:type="table" w:styleId="TableGrid">
    <w:name w:val="Table Grid"/>
    <w:basedOn w:val="TableNormal"/>
    <w:uiPriority w:val="39"/>
    <w:rsid w:val="0074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2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8520FD-4699-4594-BD42-A1ACD2325B01}">
  <ds:schemaRef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1d57a815-79e8-498e-8f04-9c2e9221b678"/>
    <ds:schemaRef ds:uri="http://schemas.microsoft.com/office/2006/metadata/properties"/>
    <ds:schemaRef ds:uri="http://purl.org/dc/dcmitype/"/>
    <ds:schemaRef ds:uri="http://purl.org/dc/elements/1.1/"/>
    <ds:schemaRef ds:uri="http://purl.org/dc/terms/"/>
  </ds:schemaRefs>
</ds:datastoreItem>
</file>

<file path=customXml/itemProps2.xml><?xml version="1.0" encoding="utf-8"?>
<ds:datastoreItem xmlns:ds="http://schemas.openxmlformats.org/officeDocument/2006/customXml" ds:itemID="{5023CA56-F039-4172-86B6-0B4B9F58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57529-35F2-4F66-B00F-6E3F075C1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2021-12-03T09:13:00Z</dcterms:created>
  <dcterms:modified xsi:type="dcterms:W3CDTF">2021-12-03T09:13:00Z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